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pageBreakBefore w:val="0"/>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Annex 1 - Form of Guarantee:</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WHEREAS (B) “deed” replaced by “contract”</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“Contract (Rights of Third Parties) Act 1999” shall be amended to “Contract (Third Party Rights) (Scotland) Act 2017”.</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RM6284 Costs Lawyer Services 2</w:t>
      <w:tab/>
      <w:t xml:space="preserve"> </w:t>
    </w:r>
  </w:p>
  <w:p w:rsidR="00000000" w:rsidDel="00000000" w:rsidP="00000000" w:rsidRDefault="00000000" w:rsidRPr="00000000" w14:paraId="0000003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r>
  </w:p>
  <w:p w:rsidR="00000000" w:rsidDel="00000000" w:rsidP="00000000" w:rsidRDefault="00000000" w:rsidRPr="00000000" w14:paraId="00000038">
    <w:pPr>
      <w:tabs>
        <w:tab w:val="center" w:pos="4513"/>
        <w:tab w:val="right" w:pos="9026"/>
      </w:tabs>
      <w:spacing w:after="0" w:lineRule="auto"/>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I1Q03U7G5GJBU6dxyj4lAXCTCA==">AMUW2mX+IG7vWMBt7KsaLgV6ZO7cZlfYqnLI8ka9d1UHla9PAUIrNHo55Zy1R1frBGz8acPWseHJKBDq0oX/hsZqOs3ZpfbGGOIMVbWqkv1dT/h2OuOPfTO44Gn23SB46ojMQ39g3nXz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2020-12-10T14:34:00Z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